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012BFB" w14:textId="77777777" w:rsidR="008064D3" w:rsidRDefault="00BC4748">
      <w:pPr>
        <w:spacing w:after="276"/>
        <w:ind w:left="-1157"/>
      </w:pPr>
      <w:r>
        <w:rPr>
          <w:noProof/>
        </w:rPr>
        <w:drawing>
          <wp:inline distT="0" distB="0" distL="0" distR="0" wp14:anchorId="655CB1FC" wp14:editId="3025007E">
            <wp:extent cx="3023062" cy="720000"/>
            <wp:effectExtent l="0" t="0" r="0" b="0"/>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8"/>
                    <a:stretch>
                      <a:fillRect/>
                    </a:stretch>
                  </pic:blipFill>
                  <pic:spPr>
                    <a:xfrm>
                      <a:off x="0" y="0"/>
                      <a:ext cx="3023062" cy="720000"/>
                    </a:xfrm>
                    <a:prstGeom prst="rect">
                      <a:avLst/>
                    </a:prstGeom>
                  </pic:spPr>
                </pic:pic>
              </a:graphicData>
            </a:graphic>
          </wp:inline>
        </w:drawing>
      </w:r>
    </w:p>
    <w:p w14:paraId="0F013041" w14:textId="77777777" w:rsidR="008064D3" w:rsidRDefault="00BC4748">
      <w:pPr>
        <w:spacing w:after="0"/>
        <w:ind w:left="-5" w:hanging="10"/>
      </w:pPr>
      <w:r>
        <w:rPr>
          <w:b/>
          <w:sz w:val="24"/>
        </w:rPr>
        <w:t>Sekretarz Stanu</w:t>
      </w:r>
    </w:p>
    <w:p w14:paraId="3BA4D434" w14:textId="77777777" w:rsidR="008064D3" w:rsidRDefault="00BC4748">
      <w:pPr>
        <w:spacing w:after="577"/>
      </w:pPr>
      <w:r>
        <w:rPr>
          <w:b/>
          <w:sz w:val="24"/>
        </w:rPr>
        <w:t>Małgorzata Jarosińska-Jedynak</w:t>
      </w:r>
    </w:p>
    <w:p w14:paraId="3D6D9746" w14:textId="77777777" w:rsidR="008064D3" w:rsidRDefault="00BC4748">
      <w:pPr>
        <w:spacing w:after="130" w:line="268" w:lineRule="auto"/>
        <w:ind w:left="-5" w:hanging="10"/>
      </w:pPr>
      <w:r>
        <w:rPr>
          <w:sz w:val="24"/>
        </w:rPr>
        <w:t>Warszawa, data: 18 lipca 2023 r.</w:t>
      </w:r>
    </w:p>
    <w:p w14:paraId="30511DBD" w14:textId="77777777" w:rsidR="008064D3" w:rsidRDefault="00BC4748">
      <w:pPr>
        <w:spacing w:after="0" w:line="360" w:lineRule="auto"/>
        <w:ind w:left="-5" w:right="3821" w:hanging="10"/>
      </w:pPr>
      <w:r>
        <w:rPr>
          <w:sz w:val="24"/>
        </w:rPr>
        <w:t>znak sprawy: DRC-IVa.0221.177.2023.IT identyfikator koszulki: telefon: 22 273 85 36</w:t>
      </w:r>
    </w:p>
    <w:p w14:paraId="32EEB62D" w14:textId="3DC6D7E7" w:rsidR="008064D3" w:rsidRDefault="00BC4748">
      <w:pPr>
        <w:spacing w:after="715" w:line="268" w:lineRule="auto"/>
        <w:ind w:left="-5" w:hanging="10"/>
        <w:rPr>
          <w:sz w:val="24"/>
          <w:lang w:val="en-US"/>
        </w:rPr>
      </w:pPr>
      <w:r w:rsidRPr="006D5A00">
        <w:rPr>
          <w:sz w:val="24"/>
          <w:lang w:val="en-US"/>
        </w:rPr>
        <w:t xml:space="preserve">e-mail: </w:t>
      </w:r>
      <w:hyperlink r:id="rId9" w:history="1">
        <w:r w:rsidR="00417510" w:rsidRPr="00095068">
          <w:rPr>
            <w:rStyle w:val="Hipercze"/>
            <w:sz w:val="24"/>
            <w:lang w:val="en-US"/>
          </w:rPr>
          <w:t>ignacy.turowiecki@mfipr.gov.pl</w:t>
        </w:r>
      </w:hyperlink>
    </w:p>
    <w:p w14:paraId="15D3AEBC" w14:textId="77777777" w:rsidR="00417510" w:rsidRPr="006D5A00" w:rsidRDefault="00417510">
      <w:pPr>
        <w:spacing w:after="715" w:line="268" w:lineRule="auto"/>
        <w:ind w:left="-5" w:hanging="10"/>
        <w:rPr>
          <w:lang w:val="en-US"/>
        </w:rPr>
      </w:pPr>
    </w:p>
    <w:p w14:paraId="0ACFA003" w14:textId="77777777" w:rsidR="008064D3" w:rsidRDefault="00BC4748">
      <w:pPr>
        <w:spacing w:after="12" w:line="268" w:lineRule="auto"/>
        <w:ind w:left="-5" w:hanging="10"/>
      </w:pPr>
      <w:r>
        <w:rPr>
          <w:sz w:val="24"/>
        </w:rPr>
        <w:t>Pani Wioletta Zwara</w:t>
      </w:r>
    </w:p>
    <w:p w14:paraId="5A3A4763" w14:textId="77777777" w:rsidR="008064D3" w:rsidRDefault="00BC4748">
      <w:pPr>
        <w:spacing w:after="612" w:line="268" w:lineRule="auto"/>
        <w:ind w:left="-5" w:hanging="10"/>
      </w:pPr>
      <w:r>
        <w:rPr>
          <w:sz w:val="24"/>
        </w:rPr>
        <w:t>Sekretarz Komitetu Rady Ministrów do spraw Cyfryzacji</w:t>
      </w:r>
    </w:p>
    <w:p w14:paraId="08D198EE" w14:textId="77777777" w:rsidR="008064D3" w:rsidRDefault="00BC4748">
      <w:pPr>
        <w:spacing w:after="600" w:line="360" w:lineRule="auto"/>
        <w:ind w:left="-5" w:hanging="10"/>
      </w:pPr>
      <w:r>
        <w:rPr>
          <w:b/>
          <w:sz w:val="24"/>
        </w:rPr>
        <w:t>Dotyczy: Uwag Ministerstwa Funduszy i Polityki Regionalnej do opisu założeń projektu informatycznego pn. „Budowa ogólnopolskiej wysokiej jakości i dostępności e-usług publicznych w podmiotach leczniczych utworzonych i nadzorowanych przez MON”.</w:t>
      </w:r>
    </w:p>
    <w:p w14:paraId="6BE48E84" w14:textId="77777777" w:rsidR="008064D3" w:rsidRDefault="00BC4748">
      <w:pPr>
        <w:spacing w:after="130" w:line="268" w:lineRule="auto"/>
        <w:ind w:left="-5" w:hanging="10"/>
      </w:pPr>
      <w:r>
        <w:rPr>
          <w:sz w:val="24"/>
        </w:rPr>
        <w:t>Szanowna Pani Sekretarz,</w:t>
      </w:r>
    </w:p>
    <w:p w14:paraId="3A3C56AA" w14:textId="77777777" w:rsidR="008064D3" w:rsidRDefault="00BC4748">
      <w:pPr>
        <w:spacing w:after="130" w:line="268" w:lineRule="auto"/>
        <w:ind w:left="-5" w:hanging="10"/>
      </w:pPr>
      <w:r>
        <w:rPr>
          <w:sz w:val="24"/>
        </w:rPr>
        <w:t>W załączeniu przesyłam tabelę z uwagami MFiPR do przedmiotowego opisu założeń projektu informatycznego.</w:t>
      </w:r>
    </w:p>
    <w:p w14:paraId="37D58336" w14:textId="77777777" w:rsidR="008064D3" w:rsidRDefault="00BC4748">
      <w:pPr>
        <w:spacing w:after="603"/>
        <w:ind w:left="2227"/>
        <w:jc w:val="center"/>
      </w:pPr>
      <w:r>
        <w:rPr>
          <w:sz w:val="24"/>
        </w:rPr>
        <w:t>Z poważaniem</w:t>
      </w:r>
    </w:p>
    <w:p w14:paraId="15178516" w14:textId="77777777" w:rsidR="008064D3" w:rsidRDefault="00BC4748">
      <w:pPr>
        <w:spacing w:after="1864" w:line="458" w:lineRule="auto"/>
        <w:ind w:left="4253"/>
      </w:pPr>
      <w:r>
        <w:rPr>
          <w:sz w:val="24"/>
        </w:rPr>
        <w:t>Małgorzata Jarosińska-Jedynak /podpisano elektronicznie/</w:t>
      </w:r>
    </w:p>
    <w:p w14:paraId="425967FF" w14:textId="77777777" w:rsidR="008064D3" w:rsidRDefault="00BC4748">
      <w:pPr>
        <w:spacing w:after="158"/>
        <w:ind w:right="-250"/>
      </w:pPr>
      <w:r>
        <w:rPr>
          <w:noProof/>
        </w:rPr>
        <w:lastRenderedPageBreak/>
        <mc:AlternateContent>
          <mc:Choice Requires="wpg">
            <w:drawing>
              <wp:inline distT="0" distB="0" distL="0" distR="0" wp14:anchorId="1690A37D" wp14:editId="45DCB15A">
                <wp:extent cx="5039360" cy="6350"/>
                <wp:effectExtent l="0" t="0" r="0" b="0"/>
                <wp:docPr id="2997" name="Group 2997"/>
                <wp:cNvGraphicFramePr/>
                <a:graphic xmlns:a="http://schemas.openxmlformats.org/drawingml/2006/main">
                  <a:graphicData uri="http://schemas.microsoft.com/office/word/2010/wordprocessingGroup">
                    <wpg:wgp>
                      <wpg:cNvGrpSpPr/>
                      <wpg:grpSpPr>
                        <a:xfrm>
                          <a:off x="0" y="0"/>
                          <a:ext cx="5039360" cy="6350"/>
                          <a:chOff x="0" y="0"/>
                          <a:chExt cx="5039360" cy="6350"/>
                        </a:xfrm>
                      </wpg:grpSpPr>
                      <wps:wsp>
                        <wps:cNvPr id="18" name="Shape 18"/>
                        <wps:cNvSpPr/>
                        <wps:spPr>
                          <a:xfrm>
                            <a:off x="0" y="0"/>
                            <a:ext cx="5039360" cy="0"/>
                          </a:xfrm>
                          <a:custGeom>
                            <a:avLst/>
                            <a:gdLst/>
                            <a:ahLst/>
                            <a:cxnLst/>
                            <a:rect l="0" t="0" r="0" b="0"/>
                            <a:pathLst>
                              <a:path w="5039360">
                                <a:moveTo>
                                  <a:pt x="0" y="0"/>
                                </a:moveTo>
                                <a:lnTo>
                                  <a:pt x="5039360" y="0"/>
                                </a:lnTo>
                              </a:path>
                            </a:pathLst>
                          </a:custGeom>
                          <a:ln w="6350"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1A6070E" id="Group 2997" o:spid="_x0000_s1026" style="width:396.8pt;height:.5pt;mso-position-horizontal-relative:char;mso-position-vertical-relative:line" coordsize="50393,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">
                <v:shape id="Shape 18" o:spid="_x0000_s1027" style="position:absolute;width:50393;height:0;visibility:visible;mso-wrap-style:square;v-text-anchor:top" coordsize="50393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" path="m,l5039360,e" filled="f" strokeweight=".5pt">
                  <v:stroke miterlimit="83231f" joinstyle="miter"/>
                  <v:path arrowok="t" textboxrect="0,0,5039360,0"/>
                </v:shape>
                <w10:anchorlock/>
              </v:group>
            </w:pict>
          </mc:Fallback>
        </mc:AlternateContent>
      </w:r>
    </w:p>
    <w:p w14:paraId="7AF774A7" w14:textId="77777777" w:rsidR="008064D3" w:rsidRDefault="00BC4748">
      <w:pPr>
        <w:tabs>
          <w:tab w:val="center" w:pos="6509"/>
        </w:tabs>
        <w:spacing w:after="8" w:line="250" w:lineRule="auto"/>
        <w:ind w:left="-15"/>
      </w:pPr>
      <w:r>
        <w:rPr>
          <w:sz w:val="20"/>
        </w:rPr>
        <w:t>tel. 22 273 84 00</w:t>
      </w:r>
      <w:r>
        <w:rPr>
          <w:sz w:val="20"/>
        </w:rPr>
        <w:tab/>
        <w:t>ul. Wspólna 2/4</w:t>
      </w:r>
    </w:p>
    <w:p w14:paraId="024334C4" w14:textId="77777777" w:rsidR="008064D3" w:rsidRDefault="00BC4748">
      <w:pPr>
        <w:spacing w:after="8" w:line="250" w:lineRule="auto"/>
        <w:ind w:left="-5" w:right="356" w:hanging="10"/>
      </w:pPr>
      <w:r>
        <w:rPr>
          <w:sz w:val="20"/>
        </w:rPr>
        <w:t>fax 22 273 89 47</w:t>
      </w:r>
      <w:r>
        <w:rPr>
          <w:sz w:val="20"/>
        </w:rPr>
        <w:tab/>
        <w:t xml:space="preserve">00-926 Warszawa </w:t>
      </w:r>
      <w:hyperlink r:id="rId10">
        <w:r>
          <w:rPr>
            <w:sz w:val="20"/>
          </w:rPr>
          <w:t xml:space="preserve">www.gov.pl/web/fundusze-regiony </w:t>
        </w:r>
      </w:hyperlink>
      <w:hyperlink r:id="rId11">
        <w:r>
          <w:rPr>
            <w:sz w:val="20"/>
          </w:rPr>
          <w:t>www.funduszeeuropejskie.gov.pl</w:t>
        </w:r>
      </w:hyperlink>
    </w:p>
    <w:p w14:paraId="674BEDAF" w14:textId="77777777" w:rsidR="008064D3" w:rsidRDefault="008064D3">
      <w:pPr>
        <w:sectPr w:rsidR="008064D3">
          <w:pgSz w:w="11906" w:h="16838"/>
          <w:pgMar w:top="851" w:right="2235" w:bottom="1440" w:left="1985" w:header="708" w:footer="708" w:gutter="0"/>
          <w:cols w:space="708"/>
        </w:sectPr>
      </w:pPr>
    </w:p>
    <w:tbl>
      <w:tblPr>
        <w:tblStyle w:val="TableGrid"/>
        <w:tblW w:w="15388" w:type="dxa"/>
        <w:tblInd w:w="-715" w:type="dxa"/>
        <w:tblCellMar>
          <w:top w:w="55" w:type="dxa"/>
          <w:left w:w="108" w:type="dxa"/>
          <w:right w:w="88" w:type="dxa"/>
        </w:tblCellMar>
        <w:tblLook w:val="04A0" w:firstRow="1" w:lastRow="0" w:firstColumn="1" w:lastColumn="0" w:noHBand="0" w:noVBand="1"/>
      </w:tblPr>
      <w:tblGrid>
        <w:gridCol w:w="552"/>
        <w:gridCol w:w="1117"/>
        <w:gridCol w:w="1983"/>
        <w:gridCol w:w="3975"/>
        <w:gridCol w:w="4910"/>
        <w:gridCol w:w="2851"/>
      </w:tblGrid>
      <w:tr w:rsidR="008064D3" w14:paraId="4668259D" w14:textId="77777777">
        <w:trPr>
          <w:trHeight w:val="802"/>
        </w:trPr>
        <w:tc>
          <w:tcPr>
            <w:tcW w:w="15388" w:type="dxa"/>
            <w:gridSpan w:val="6"/>
            <w:tcBorders>
              <w:top w:val="single" w:sz="4" w:space="0" w:color="000000"/>
              <w:left w:val="single" w:sz="4" w:space="0" w:color="000000"/>
              <w:bottom w:val="single" w:sz="4" w:space="0" w:color="000000"/>
              <w:right w:val="single" w:sz="4" w:space="0" w:color="000000"/>
            </w:tcBorders>
            <w:vAlign w:val="center"/>
          </w:tcPr>
          <w:p w14:paraId="66EA5267" w14:textId="77777777" w:rsidR="008064D3" w:rsidRDefault="00BC4748">
            <w:r>
              <w:rPr>
                <w:rFonts w:ascii="Arial" w:eastAsia="Arial" w:hAnsi="Arial" w:cs="Arial"/>
                <w:b/>
                <w:i/>
                <w:sz w:val="24"/>
              </w:rPr>
              <w:lastRenderedPageBreak/>
              <w:t xml:space="preserve">Nazwa dokumentu: Budowa ogólnopolskiej wysokiej jakości i dostępności e-usług publicznych w podmiotach leczniczych utworzonych i nadzorowanych przez MON </w:t>
            </w:r>
            <w:r>
              <w:rPr>
                <w:rFonts w:ascii="Arial" w:eastAsia="Arial" w:hAnsi="Arial" w:cs="Arial"/>
                <w:b/>
                <w:sz w:val="24"/>
              </w:rPr>
              <w:t>[OPIS ZAŁOŻEŃ PROJEKTUINFORMATYCZNEGO]</w:t>
            </w:r>
          </w:p>
        </w:tc>
      </w:tr>
      <w:tr w:rsidR="008064D3" w14:paraId="23127C40" w14:textId="77777777" w:rsidTr="00227B3B">
        <w:trPr>
          <w:trHeight w:val="1390"/>
        </w:trPr>
        <w:tc>
          <w:tcPr>
            <w:tcW w:w="559" w:type="dxa"/>
            <w:tcBorders>
              <w:top w:val="single" w:sz="4" w:space="0" w:color="000000"/>
              <w:left w:val="single" w:sz="4" w:space="0" w:color="000000"/>
              <w:bottom w:val="single" w:sz="4" w:space="0" w:color="000000"/>
              <w:right w:val="single" w:sz="4" w:space="0" w:color="000000"/>
            </w:tcBorders>
            <w:vAlign w:val="center"/>
          </w:tcPr>
          <w:p w14:paraId="2477DCF7" w14:textId="77777777" w:rsidR="008064D3" w:rsidRDefault="00BC4748">
            <w:pPr>
              <w:ind w:left="26"/>
              <w:jc w:val="both"/>
            </w:pPr>
            <w:r>
              <w:rPr>
                <w:rFonts w:ascii="Arial" w:eastAsia="Arial" w:hAnsi="Arial" w:cs="Arial"/>
                <w:b/>
                <w:sz w:val="24"/>
              </w:rPr>
              <w:t>Lp</w:t>
            </w:r>
          </w:p>
          <w:p w14:paraId="2564BCE9" w14:textId="77777777" w:rsidR="008064D3" w:rsidRDefault="00BC4748">
            <w:pPr>
              <w:ind w:right="20"/>
              <w:jc w:val="center"/>
            </w:pPr>
            <w:r>
              <w:rPr>
                <w:rFonts w:ascii="Arial" w:eastAsia="Arial" w:hAnsi="Arial" w:cs="Arial"/>
                <w:b/>
                <w:sz w:val="24"/>
              </w:rPr>
              <w:t>.</w:t>
            </w:r>
          </w:p>
        </w:tc>
        <w:tc>
          <w:tcPr>
            <w:tcW w:w="1128" w:type="dxa"/>
            <w:tcBorders>
              <w:top w:val="single" w:sz="4" w:space="0" w:color="000000"/>
              <w:left w:val="single" w:sz="4" w:space="0" w:color="000000"/>
              <w:bottom w:val="single" w:sz="4" w:space="0" w:color="000000"/>
              <w:right w:val="single" w:sz="4" w:space="0" w:color="000000"/>
            </w:tcBorders>
            <w:vAlign w:val="center"/>
          </w:tcPr>
          <w:p w14:paraId="24AFED92" w14:textId="77777777" w:rsidR="008064D3" w:rsidRDefault="00BC4748">
            <w:pPr>
              <w:jc w:val="center"/>
            </w:pPr>
            <w:r>
              <w:rPr>
                <w:rFonts w:ascii="Arial" w:eastAsia="Arial" w:hAnsi="Arial" w:cs="Arial"/>
                <w:b/>
                <w:sz w:val="24"/>
              </w:rPr>
              <w:t>Organ wnoszą cy uwagi</w:t>
            </w:r>
          </w:p>
        </w:tc>
        <w:tc>
          <w:tcPr>
            <w:tcW w:w="2000" w:type="dxa"/>
            <w:tcBorders>
              <w:top w:val="single" w:sz="4" w:space="0" w:color="000000"/>
              <w:left w:val="single" w:sz="4" w:space="0" w:color="000000"/>
              <w:bottom w:val="single" w:sz="4" w:space="0" w:color="000000"/>
              <w:right w:val="single" w:sz="4" w:space="0" w:color="000000"/>
            </w:tcBorders>
          </w:tcPr>
          <w:p w14:paraId="0C39B2FD" w14:textId="77777777" w:rsidR="008064D3" w:rsidRDefault="00BC4748">
            <w:pPr>
              <w:ind w:left="7"/>
              <w:jc w:val="center"/>
            </w:pPr>
            <w:r>
              <w:rPr>
                <w:rFonts w:ascii="Arial" w:eastAsia="Arial" w:hAnsi="Arial" w:cs="Arial"/>
                <w:b/>
                <w:sz w:val="24"/>
              </w:rPr>
              <w:t xml:space="preserve">Jednostka redakcyjna, do której </w:t>
            </w:r>
          </w:p>
          <w:p w14:paraId="1C944930" w14:textId="77777777" w:rsidR="008064D3" w:rsidRDefault="00BC4748">
            <w:pPr>
              <w:jc w:val="center"/>
            </w:pPr>
            <w:r>
              <w:rPr>
                <w:rFonts w:ascii="Arial" w:eastAsia="Arial" w:hAnsi="Arial" w:cs="Arial"/>
                <w:b/>
                <w:sz w:val="24"/>
              </w:rPr>
              <w:t>wnoszone są uwagi</w:t>
            </w:r>
          </w:p>
        </w:tc>
        <w:tc>
          <w:tcPr>
            <w:tcW w:w="4326" w:type="dxa"/>
            <w:tcBorders>
              <w:top w:val="single" w:sz="4" w:space="0" w:color="000000"/>
              <w:left w:val="single" w:sz="4" w:space="0" w:color="000000"/>
              <w:bottom w:val="single" w:sz="4" w:space="0" w:color="000000"/>
              <w:right w:val="single" w:sz="4" w:space="0" w:color="000000"/>
            </w:tcBorders>
            <w:vAlign w:val="center"/>
          </w:tcPr>
          <w:p w14:paraId="7FC86F87" w14:textId="77777777" w:rsidR="008064D3" w:rsidRDefault="00BC4748">
            <w:pPr>
              <w:ind w:right="21"/>
              <w:jc w:val="center"/>
            </w:pPr>
            <w:r>
              <w:rPr>
                <w:rFonts w:ascii="Arial" w:eastAsia="Arial" w:hAnsi="Arial" w:cs="Arial"/>
                <w:b/>
                <w:sz w:val="24"/>
              </w:rPr>
              <w:t>Treść uwagi</w:t>
            </w:r>
          </w:p>
        </w:tc>
        <w:tc>
          <w:tcPr>
            <w:tcW w:w="5511" w:type="dxa"/>
            <w:tcBorders>
              <w:top w:val="single" w:sz="4" w:space="0" w:color="000000"/>
              <w:left w:val="single" w:sz="4" w:space="0" w:color="000000"/>
              <w:bottom w:val="single" w:sz="4" w:space="0" w:color="000000"/>
              <w:right w:val="single" w:sz="4" w:space="0" w:color="000000"/>
            </w:tcBorders>
            <w:vAlign w:val="center"/>
          </w:tcPr>
          <w:p w14:paraId="476B9DFB" w14:textId="77777777" w:rsidR="008064D3" w:rsidRDefault="00BC4748">
            <w:pPr>
              <w:ind w:right="21"/>
              <w:jc w:val="center"/>
            </w:pPr>
            <w:r>
              <w:rPr>
                <w:rFonts w:ascii="Arial" w:eastAsia="Arial" w:hAnsi="Arial" w:cs="Arial"/>
                <w:b/>
                <w:sz w:val="24"/>
              </w:rPr>
              <w:t>Propozycja zmian zapisu</w:t>
            </w:r>
          </w:p>
        </w:tc>
        <w:tc>
          <w:tcPr>
            <w:tcW w:w="1864" w:type="dxa"/>
            <w:tcBorders>
              <w:top w:val="single" w:sz="4" w:space="0" w:color="000000"/>
              <w:left w:val="single" w:sz="4" w:space="0" w:color="000000"/>
              <w:bottom w:val="single" w:sz="4" w:space="0" w:color="000000"/>
              <w:right w:val="single" w:sz="4" w:space="0" w:color="000000"/>
            </w:tcBorders>
            <w:vAlign w:val="center"/>
          </w:tcPr>
          <w:p w14:paraId="06987D7B" w14:textId="77777777" w:rsidR="008064D3" w:rsidRDefault="00BC4748">
            <w:pPr>
              <w:ind w:left="14" w:hanging="14"/>
              <w:jc w:val="center"/>
            </w:pPr>
            <w:r>
              <w:rPr>
                <w:rFonts w:ascii="Arial" w:eastAsia="Arial" w:hAnsi="Arial" w:cs="Arial"/>
                <w:b/>
                <w:sz w:val="24"/>
              </w:rPr>
              <w:t>Odniesie nie do uwagi</w:t>
            </w:r>
          </w:p>
        </w:tc>
      </w:tr>
      <w:tr w:rsidR="008064D3" w14:paraId="7C20220F" w14:textId="77777777" w:rsidTr="00227B3B">
        <w:trPr>
          <w:trHeight w:val="7461"/>
        </w:trPr>
        <w:tc>
          <w:tcPr>
            <w:tcW w:w="559" w:type="dxa"/>
            <w:tcBorders>
              <w:top w:val="single" w:sz="4" w:space="0" w:color="000000"/>
              <w:left w:val="single" w:sz="4" w:space="0" w:color="000000"/>
              <w:bottom w:val="single" w:sz="4" w:space="0" w:color="000000"/>
              <w:right w:val="single" w:sz="4" w:space="0" w:color="000000"/>
            </w:tcBorders>
          </w:tcPr>
          <w:p w14:paraId="17356F4E" w14:textId="77777777" w:rsidR="008064D3" w:rsidRDefault="00BC4748">
            <w:pPr>
              <w:ind w:left="106"/>
            </w:pPr>
            <w:r>
              <w:rPr>
                <w:rFonts w:ascii="Arial" w:eastAsia="Arial" w:hAnsi="Arial" w:cs="Arial"/>
                <w:b/>
                <w:sz w:val="24"/>
              </w:rPr>
              <w:t>1</w:t>
            </w:r>
          </w:p>
        </w:tc>
        <w:tc>
          <w:tcPr>
            <w:tcW w:w="1128" w:type="dxa"/>
            <w:tcBorders>
              <w:top w:val="single" w:sz="4" w:space="0" w:color="000000"/>
              <w:left w:val="single" w:sz="4" w:space="0" w:color="000000"/>
              <w:bottom w:val="single" w:sz="4" w:space="0" w:color="000000"/>
              <w:right w:val="single" w:sz="4" w:space="0" w:color="000000"/>
            </w:tcBorders>
          </w:tcPr>
          <w:p w14:paraId="77FBC4D2" w14:textId="77777777" w:rsidR="008064D3" w:rsidRDefault="00BC4748">
            <w:pPr>
              <w:ind w:left="86"/>
            </w:pPr>
            <w:r>
              <w:rPr>
                <w:rFonts w:ascii="Arial" w:eastAsia="Arial" w:hAnsi="Arial" w:cs="Arial"/>
                <w:b/>
                <w:sz w:val="24"/>
              </w:rPr>
              <w:t>MFiPR</w:t>
            </w:r>
          </w:p>
        </w:tc>
        <w:tc>
          <w:tcPr>
            <w:tcW w:w="2000" w:type="dxa"/>
            <w:tcBorders>
              <w:top w:val="single" w:sz="4" w:space="0" w:color="000000"/>
              <w:left w:val="single" w:sz="4" w:space="0" w:color="000000"/>
              <w:bottom w:val="single" w:sz="4" w:space="0" w:color="000000"/>
              <w:right w:val="single" w:sz="4" w:space="0" w:color="000000"/>
            </w:tcBorders>
          </w:tcPr>
          <w:p w14:paraId="10BAA30E" w14:textId="28339FB5" w:rsidR="008064D3" w:rsidRDefault="00BC4748">
            <w:pPr>
              <w:jc w:val="center"/>
            </w:pPr>
            <w:r>
              <w:rPr>
                <w:rFonts w:ascii="Arial" w:eastAsia="Arial" w:hAnsi="Arial" w:cs="Arial"/>
                <w:sz w:val="24"/>
              </w:rPr>
              <w:t>4.2 Wykaz poszczególnych pozycji kosztowych</w:t>
            </w:r>
          </w:p>
        </w:tc>
        <w:tc>
          <w:tcPr>
            <w:tcW w:w="4326" w:type="dxa"/>
            <w:tcBorders>
              <w:top w:val="single" w:sz="4" w:space="0" w:color="000000"/>
              <w:left w:val="single" w:sz="4" w:space="0" w:color="000000"/>
              <w:bottom w:val="single" w:sz="4" w:space="0" w:color="000000"/>
              <w:right w:val="single" w:sz="4" w:space="0" w:color="000000"/>
            </w:tcBorders>
          </w:tcPr>
          <w:p w14:paraId="630DFFD0" w14:textId="77777777" w:rsidR="008064D3" w:rsidRDefault="00BC4748">
            <w:pPr>
              <w:numPr>
                <w:ilvl w:val="0"/>
                <w:numId w:val="1"/>
              </w:numPr>
              <w:ind w:right="34"/>
            </w:pPr>
            <w:r>
              <w:rPr>
                <w:rFonts w:ascii="Arial" w:eastAsia="Arial" w:hAnsi="Arial" w:cs="Arial"/>
                <w:sz w:val="24"/>
              </w:rPr>
              <w:t xml:space="preserve">W pozycji „Szkolenia” wpisano „Koszty szkoleń wliczone są do pozycji </w:t>
            </w:r>
          </w:p>
          <w:p w14:paraId="2B1BC374" w14:textId="77777777" w:rsidR="008064D3" w:rsidRDefault="00BC4748">
            <w:r>
              <w:rPr>
                <w:rFonts w:ascii="Arial" w:eastAsia="Arial" w:hAnsi="Arial" w:cs="Arial"/>
                <w:sz w:val="24"/>
              </w:rPr>
              <w:t xml:space="preserve">"Oprogramowanie". Należy zauważyć, że kategoria szkolenia jest objęta limitem na poziomie rozporządzenia ogólnego UE 1303/2013. Wynika z tego, że musi być monitorowane wydatkowanie w projektach tak, aby na poziomie osi priorytetowej nie przekroczyć limitu 10% wydatków kwalifikowalnych. Nie można zatem włączać szkoleń do kategorii oprogramowanie. </w:t>
            </w:r>
          </w:p>
          <w:p w14:paraId="6325FA67" w14:textId="77777777" w:rsidR="008064D3" w:rsidRDefault="00BC4748">
            <w:pPr>
              <w:spacing w:after="276"/>
            </w:pPr>
            <w:r>
              <w:rPr>
                <w:rFonts w:ascii="Arial" w:eastAsia="Arial" w:hAnsi="Arial" w:cs="Arial"/>
                <w:sz w:val="24"/>
              </w:rPr>
              <w:t xml:space="preserve">Należy nadmienić, że w poprzedniej wersji opisu założeń projektu środki przeznaczone na ten cel były dość znaczące. Dodatkowo zmiana projektu zakłada wzrost budżetu przedsięwzięcia. Można zatem wnioskować, że środki na szkolenia mogą ulec również wzrostowi. </w:t>
            </w:r>
          </w:p>
          <w:p w14:paraId="43042346" w14:textId="77777777" w:rsidR="008064D3" w:rsidRDefault="00BC4748">
            <w:pPr>
              <w:numPr>
                <w:ilvl w:val="0"/>
                <w:numId w:val="1"/>
              </w:numPr>
              <w:ind w:right="34"/>
            </w:pPr>
            <w:r>
              <w:rPr>
                <w:rFonts w:ascii="Arial" w:eastAsia="Arial" w:hAnsi="Arial" w:cs="Arial"/>
                <w:sz w:val="24"/>
              </w:rPr>
              <w:t xml:space="preserve">W pozycji „Bezpieczeństwo” wpisano „Koszty testów i audytów </w:t>
            </w:r>
            <w:r>
              <w:rPr>
                <w:rFonts w:ascii="Arial" w:eastAsia="Arial" w:hAnsi="Arial" w:cs="Arial"/>
                <w:sz w:val="24"/>
              </w:rPr>
              <w:lastRenderedPageBreak/>
              <w:t xml:space="preserve">bezpieczeństwa wliczone są do pozycji "Oprogramowanie". Należy zauważyć, że kategorie wydatków w działaniu 2.1 POPC różnią się od tych podanych w opisie założeń projektu. </w:t>
            </w:r>
          </w:p>
        </w:tc>
        <w:tc>
          <w:tcPr>
            <w:tcW w:w="5511" w:type="dxa"/>
            <w:tcBorders>
              <w:top w:val="single" w:sz="4" w:space="0" w:color="000000"/>
              <w:left w:val="single" w:sz="4" w:space="0" w:color="000000"/>
              <w:bottom w:val="single" w:sz="4" w:space="0" w:color="000000"/>
              <w:right w:val="single" w:sz="4" w:space="0" w:color="000000"/>
            </w:tcBorders>
          </w:tcPr>
          <w:p w14:paraId="10CA16D0" w14:textId="77777777" w:rsidR="008064D3" w:rsidRDefault="00BC4748">
            <w:pPr>
              <w:spacing w:after="276"/>
            </w:pPr>
            <w:r>
              <w:rPr>
                <w:rFonts w:ascii="Arial" w:eastAsia="Arial" w:hAnsi="Arial" w:cs="Arial"/>
                <w:sz w:val="24"/>
              </w:rPr>
              <w:lastRenderedPageBreak/>
              <w:t>Kategoria szkolenia wymaga odrębnego monitorowania. Dlatego też należy wydzielić te koszty w projekcie, tak aby IZ POPC mogła nadzorować wydatkowanie środków UE przeznaczone na cel szkoleniowy.</w:t>
            </w:r>
          </w:p>
          <w:p w14:paraId="2BF40B7A" w14:textId="77777777" w:rsidR="008064D3" w:rsidRDefault="00BC4748">
            <w:pPr>
              <w:rPr>
                <w:rFonts w:ascii="Arial" w:eastAsia="Arial" w:hAnsi="Arial" w:cs="Arial"/>
                <w:sz w:val="24"/>
              </w:rPr>
            </w:pPr>
            <w:r>
              <w:rPr>
                <w:rFonts w:ascii="Arial" w:eastAsia="Arial" w:hAnsi="Arial" w:cs="Arial"/>
                <w:sz w:val="24"/>
              </w:rPr>
              <w:t>Ponadto jeżeli testy i audyty bezpieczeństwa są usługami zewnętrznymi, to w projekcie należy je włączyć do kategorii usługi zewnętrzne, a nie do kategorii oprogramowanie.</w:t>
            </w:r>
          </w:p>
          <w:p w14:paraId="75DCAE13" w14:textId="77777777" w:rsidR="006B0BCB" w:rsidRDefault="006B0BCB">
            <w:pPr>
              <w:rPr>
                <w:rFonts w:ascii="Arial" w:eastAsia="Arial" w:hAnsi="Arial" w:cs="Arial"/>
                <w:sz w:val="24"/>
              </w:rPr>
            </w:pPr>
          </w:p>
          <w:p w14:paraId="33D9EFFF" w14:textId="6A74C9BD" w:rsidR="00244C7E" w:rsidRDefault="00244C7E" w:rsidP="00DB04F2"/>
        </w:tc>
        <w:tc>
          <w:tcPr>
            <w:tcW w:w="1864" w:type="dxa"/>
            <w:tcBorders>
              <w:top w:val="single" w:sz="4" w:space="0" w:color="000000"/>
              <w:left w:val="single" w:sz="4" w:space="0" w:color="000000"/>
              <w:bottom w:val="single" w:sz="4" w:space="0" w:color="000000"/>
              <w:right w:val="single" w:sz="4" w:space="0" w:color="000000"/>
            </w:tcBorders>
          </w:tcPr>
          <w:p w14:paraId="0393A052" w14:textId="7285C81C" w:rsidR="00E83E32" w:rsidRDefault="00227B3B">
            <w:pPr>
              <w:rPr>
                <w:rFonts w:ascii="Arial" w:eastAsia="Arial" w:hAnsi="Arial" w:cs="Arial"/>
                <w:sz w:val="24"/>
              </w:rPr>
            </w:pPr>
            <w:r>
              <w:rPr>
                <w:sz w:val="24"/>
              </w:rPr>
              <w:t>Z</w:t>
            </w:r>
            <w:r w:rsidR="00080D6C" w:rsidRPr="00227B3B">
              <w:rPr>
                <w:rFonts w:ascii="Arial" w:eastAsia="Arial" w:hAnsi="Arial" w:cs="Arial"/>
                <w:sz w:val="24"/>
              </w:rPr>
              <w:t xml:space="preserve">godnie z OPZ Wykonawca nie musiał wyszczególniać kosztów audytu, testów i szkoleń - te trzy </w:t>
            </w:r>
            <w:r w:rsidR="00072D0C" w:rsidRPr="00227B3B">
              <w:rPr>
                <w:rFonts w:ascii="Arial" w:eastAsia="Arial" w:hAnsi="Arial" w:cs="Arial"/>
                <w:sz w:val="24"/>
              </w:rPr>
              <w:t>elementy</w:t>
            </w:r>
            <w:r w:rsidR="00080D6C" w:rsidRPr="00227B3B">
              <w:rPr>
                <w:rFonts w:ascii="Arial" w:eastAsia="Arial" w:hAnsi="Arial" w:cs="Arial"/>
                <w:sz w:val="24"/>
              </w:rPr>
              <w:t xml:space="preserve"> są wliczone w całkowite koszty kontraktu - koszty szkoleń, audytu</w:t>
            </w:r>
            <w:r w:rsidR="00E83E32" w:rsidRPr="00227B3B">
              <w:rPr>
                <w:rFonts w:ascii="Arial" w:eastAsia="Arial" w:hAnsi="Arial" w:cs="Arial"/>
                <w:sz w:val="24"/>
              </w:rPr>
              <w:t>.</w:t>
            </w:r>
          </w:p>
          <w:p w14:paraId="4E163130" w14:textId="0AA0BE89" w:rsidR="00096FBC" w:rsidRPr="0062149D" w:rsidRDefault="00096FBC">
            <w:pPr>
              <w:rPr>
                <w:rFonts w:ascii="Arial" w:eastAsia="Arial" w:hAnsi="Arial" w:cs="Arial"/>
                <w:sz w:val="24"/>
              </w:rPr>
            </w:pPr>
            <w:r w:rsidRPr="0062149D">
              <w:rPr>
                <w:rFonts w:ascii="Arial" w:eastAsia="Arial" w:hAnsi="Arial" w:cs="Arial"/>
                <w:sz w:val="24"/>
              </w:rPr>
              <w:t xml:space="preserve">Zamawiający/Beneficjent </w:t>
            </w:r>
            <w:r w:rsidR="00A01CE5" w:rsidRPr="0062149D">
              <w:rPr>
                <w:rFonts w:ascii="Arial" w:eastAsia="Arial" w:hAnsi="Arial" w:cs="Arial"/>
                <w:sz w:val="24"/>
              </w:rPr>
              <w:t>zwróci</w:t>
            </w:r>
            <w:r w:rsidR="00BC4748">
              <w:rPr>
                <w:rFonts w:ascii="Arial" w:eastAsia="Arial" w:hAnsi="Arial" w:cs="Arial"/>
                <w:sz w:val="24"/>
              </w:rPr>
              <w:t>ł</w:t>
            </w:r>
            <w:r w:rsidR="00D17852" w:rsidRPr="0062149D">
              <w:rPr>
                <w:rFonts w:ascii="Arial" w:eastAsia="Arial" w:hAnsi="Arial" w:cs="Arial"/>
                <w:sz w:val="24"/>
              </w:rPr>
              <w:t xml:space="preserve"> się do Wykonawcy z wnioskiem o </w:t>
            </w:r>
            <w:r w:rsidR="0062149D" w:rsidRPr="0062149D">
              <w:rPr>
                <w:rFonts w:ascii="Arial" w:eastAsia="Arial" w:hAnsi="Arial" w:cs="Arial"/>
                <w:sz w:val="24"/>
              </w:rPr>
              <w:t>wskazanie</w:t>
            </w:r>
            <w:r w:rsidR="00A01CE5" w:rsidRPr="0062149D">
              <w:rPr>
                <w:rFonts w:ascii="Arial" w:eastAsia="Arial" w:hAnsi="Arial" w:cs="Arial"/>
                <w:sz w:val="24"/>
              </w:rPr>
              <w:t xml:space="preserve"> kosztów</w:t>
            </w:r>
            <w:r w:rsidR="0062149D" w:rsidRPr="0062149D">
              <w:rPr>
                <w:rFonts w:ascii="Arial" w:eastAsia="Arial" w:hAnsi="Arial" w:cs="Arial"/>
                <w:sz w:val="24"/>
              </w:rPr>
              <w:t xml:space="preserve"> realizacji szkoleń.</w:t>
            </w:r>
            <w:r w:rsidR="004C67B4">
              <w:rPr>
                <w:rFonts w:ascii="Arial" w:eastAsia="Arial" w:hAnsi="Arial" w:cs="Arial"/>
                <w:sz w:val="24"/>
              </w:rPr>
              <w:t xml:space="preserve"> Koszty szkoleń zostały oszacowane na kwotę 1 689 200,00. Dokument z szacowania stanowi załącznik do pisma.</w:t>
            </w:r>
          </w:p>
          <w:p w14:paraId="764A8B3D" w14:textId="77777777" w:rsidR="008064D3" w:rsidRDefault="008064D3"/>
          <w:p w14:paraId="4AD8D996" w14:textId="7979E042" w:rsidR="00C524CD" w:rsidRDefault="00C524CD">
            <w:r>
              <w:rPr>
                <w:rFonts w:ascii="Arial" w:eastAsia="Arial" w:hAnsi="Arial" w:cs="Arial"/>
                <w:sz w:val="24"/>
              </w:rPr>
              <w:t>„Koszty testów i audytów bezpieczeństwa wliczone są do pozycji "Oprogramowanie".</w:t>
            </w:r>
            <w:r w:rsidR="00DD500B">
              <w:rPr>
                <w:rFonts w:ascii="Arial" w:eastAsia="Arial" w:hAnsi="Arial" w:cs="Arial"/>
                <w:sz w:val="24"/>
              </w:rPr>
              <w:t xml:space="preserve"> Koszty mogą </w:t>
            </w:r>
            <w:r w:rsidR="00D5639C">
              <w:rPr>
                <w:rFonts w:ascii="Arial" w:eastAsia="Arial" w:hAnsi="Arial" w:cs="Arial"/>
                <w:sz w:val="24"/>
              </w:rPr>
              <w:t>zostać oszacowane przez Wykonawcę na etapie realizacji zamówienia.</w:t>
            </w:r>
          </w:p>
        </w:tc>
      </w:tr>
    </w:tbl>
    <w:p w14:paraId="77C7A018" w14:textId="77777777" w:rsidR="008064D3" w:rsidRDefault="00BC4748">
      <w:pPr>
        <w:spacing w:after="80"/>
        <w:ind w:left="14540" w:right="-720" w:hanging="10"/>
      </w:pPr>
      <w:r>
        <w:rPr>
          <w:rFonts w:ascii="Arial" w:eastAsia="Arial" w:hAnsi="Arial" w:cs="Arial"/>
          <w:sz w:val="24"/>
        </w:rPr>
        <w:t>2</w:t>
      </w:r>
    </w:p>
    <w:tbl>
      <w:tblPr>
        <w:tblStyle w:val="TableGrid"/>
        <w:tblW w:w="15388" w:type="dxa"/>
        <w:tblInd w:w="-715" w:type="dxa"/>
        <w:tblCellMar>
          <w:top w:w="55" w:type="dxa"/>
          <w:left w:w="108" w:type="dxa"/>
          <w:right w:w="114" w:type="dxa"/>
        </w:tblCellMar>
        <w:tblLook w:val="04A0" w:firstRow="1" w:lastRow="0" w:firstColumn="1" w:lastColumn="0" w:noHBand="0" w:noVBand="1"/>
      </w:tblPr>
      <w:tblGrid>
        <w:gridCol w:w="562"/>
        <w:gridCol w:w="1134"/>
        <w:gridCol w:w="1843"/>
        <w:gridCol w:w="4678"/>
        <w:gridCol w:w="5812"/>
        <w:gridCol w:w="1359"/>
      </w:tblGrid>
      <w:tr w:rsidR="008064D3" w14:paraId="52F96B8D" w14:textId="77777777">
        <w:trPr>
          <w:trHeight w:val="1390"/>
        </w:trPr>
        <w:tc>
          <w:tcPr>
            <w:tcW w:w="562" w:type="dxa"/>
            <w:tcBorders>
              <w:top w:val="single" w:sz="4" w:space="0" w:color="000000"/>
              <w:left w:val="single" w:sz="4" w:space="0" w:color="000000"/>
              <w:bottom w:val="single" w:sz="4" w:space="0" w:color="000000"/>
              <w:right w:val="single" w:sz="4" w:space="0" w:color="000000"/>
            </w:tcBorders>
          </w:tcPr>
          <w:p w14:paraId="4055A24B" w14:textId="77777777" w:rsidR="008064D3" w:rsidRDefault="008064D3"/>
        </w:tc>
        <w:tc>
          <w:tcPr>
            <w:tcW w:w="1134" w:type="dxa"/>
            <w:tcBorders>
              <w:top w:val="single" w:sz="4" w:space="0" w:color="000000"/>
              <w:left w:val="single" w:sz="4" w:space="0" w:color="000000"/>
              <w:bottom w:val="single" w:sz="4" w:space="0" w:color="000000"/>
              <w:right w:val="single" w:sz="4" w:space="0" w:color="000000"/>
            </w:tcBorders>
          </w:tcPr>
          <w:p w14:paraId="303FEE8A" w14:textId="77777777" w:rsidR="008064D3" w:rsidRDefault="008064D3"/>
        </w:tc>
        <w:tc>
          <w:tcPr>
            <w:tcW w:w="1843" w:type="dxa"/>
            <w:tcBorders>
              <w:top w:val="single" w:sz="4" w:space="0" w:color="000000"/>
              <w:left w:val="single" w:sz="4" w:space="0" w:color="000000"/>
              <w:bottom w:val="single" w:sz="4" w:space="0" w:color="000000"/>
              <w:right w:val="single" w:sz="4" w:space="0" w:color="000000"/>
            </w:tcBorders>
          </w:tcPr>
          <w:p w14:paraId="1FAEEF10" w14:textId="77777777" w:rsidR="008064D3" w:rsidRDefault="008064D3"/>
        </w:tc>
        <w:tc>
          <w:tcPr>
            <w:tcW w:w="4678" w:type="dxa"/>
            <w:tcBorders>
              <w:top w:val="single" w:sz="4" w:space="0" w:color="000000"/>
              <w:left w:val="single" w:sz="4" w:space="0" w:color="000000"/>
              <w:bottom w:val="single" w:sz="4" w:space="0" w:color="000000"/>
              <w:right w:val="single" w:sz="4" w:space="0" w:color="000000"/>
            </w:tcBorders>
          </w:tcPr>
          <w:p w14:paraId="151604DE" w14:textId="77777777" w:rsidR="008064D3" w:rsidRDefault="00BC4748">
            <w:r>
              <w:rPr>
                <w:rFonts w:ascii="Arial" w:eastAsia="Arial" w:hAnsi="Arial" w:cs="Arial"/>
                <w:sz w:val="24"/>
              </w:rPr>
              <w:t xml:space="preserve">Dlatego też w projekcie, jeśli testy i audyty bezpieczeństwa są usługami zewnętrznymi, to należy je włączyć do kategorii usługi zewnętrzne, a nie do kategorii oprogramowanie. </w:t>
            </w:r>
          </w:p>
        </w:tc>
        <w:tc>
          <w:tcPr>
            <w:tcW w:w="5812" w:type="dxa"/>
            <w:tcBorders>
              <w:top w:val="single" w:sz="4" w:space="0" w:color="000000"/>
              <w:left w:val="single" w:sz="4" w:space="0" w:color="000000"/>
              <w:bottom w:val="single" w:sz="4" w:space="0" w:color="000000"/>
              <w:right w:val="single" w:sz="4" w:space="0" w:color="000000"/>
            </w:tcBorders>
          </w:tcPr>
          <w:p w14:paraId="08C57A24" w14:textId="77777777" w:rsidR="008064D3" w:rsidRDefault="008064D3"/>
        </w:tc>
        <w:tc>
          <w:tcPr>
            <w:tcW w:w="1359" w:type="dxa"/>
            <w:tcBorders>
              <w:top w:val="single" w:sz="4" w:space="0" w:color="000000"/>
              <w:left w:val="single" w:sz="4" w:space="0" w:color="000000"/>
              <w:bottom w:val="single" w:sz="4" w:space="0" w:color="000000"/>
              <w:right w:val="single" w:sz="4" w:space="0" w:color="000000"/>
            </w:tcBorders>
          </w:tcPr>
          <w:p w14:paraId="1AEB611E" w14:textId="77777777" w:rsidR="008064D3" w:rsidRDefault="008064D3"/>
        </w:tc>
      </w:tr>
      <w:tr w:rsidR="008064D3" w14:paraId="02035F49" w14:textId="77777777">
        <w:trPr>
          <w:trHeight w:val="7270"/>
        </w:trPr>
        <w:tc>
          <w:tcPr>
            <w:tcW w:w="562" w:type="dxa"/>
            <w:tcBorders>
              <w:top w:val="single" w:sz="4" w:space="0" w:color="000000"/>
              <w:left w:val="single" w:sz="4" w:space="0" w:color="000000"/>
              <w:bottom w:val="single" w:sz="4" w:space="0" w:color="000000"/>
              <w:right w:val="single" w:sz="4" w:space="0" w:color="000000"/>
            </w:tcBorders>
          </w:tcPr>
          <w:p w14:paraId="459FEE24" w14:textId="77777777" w:rsidR="008064D3" w:rsidRDefault="00BC4748">
            <w:pPr>
              <w:ind w:left="106"/>
            </w:pPr>
            <w:r>
              <w:rPr>
                <w:rFonts w:ascii="Arial" w:eastAsia="Arial" w:hAnsi="Arial" w:cs="Arial"/>
                <w:b/>
                <w:sz w:val="24"/>
              </w:rPr>
              <w:lastRenderedPageBreak/>
              <w:t>2</w:t>
            </w:r>
          </w:p>
        </w:tc>
        <w:tc>
          <w:tcPr>
            <w:tcW w:w="1134" w:type="dxa"/>
            <w:tcBorders>
              <w:top w:val="single" w:sz="4" w:space="0" w:color="000000"/>
              <w:left w:val="single" w:sz="4" w:space="0" w:color="000000"/>
              <w:bottom w:val="single" w:sz="4" w:space="0" w:color="000000"/>
              <w:right w:val="single" w:sz="4" w:space="0" w:color="000000"/>
            </w:tcBorders>
          </w:tcPr>
          <w:p w14:paraId="237FC6D4" w14:textId="77777777" w:rsidR="008064D3" w:rsidRDefault="00BC4748">
            <w:pPr>
              <w:ind w:left="86"/>
            </w:pPr>
            <w:r>
              <w:rPr>
                <w:rFonts w:ascii="Arial" w:eastAsia="Arial" w:hAnsi="Arial" w:cs="Arial"/>
                <w:b/>
                <w:sz w:val="24"/>
              </w:rPr>
              <w:t>MFiPR</w:t>
            </w:r>
          </w:p>
        </w:tc>
        <w:tc>
          <w:tcPr>
            <w:tcW w:w="1843" w:type="dxa"/>
            <w:tcBorders>
              <w:top w:val="single" w:sz="4" w:space="0" w:color="000000"/>
              <w:left w:val="single" w:sz="4" w:space="0" w:color="000000"/>
              <w:bottom w:val="single" w:sz="4" w:space="0" w:color="000000"/>
              <w:right w:val="single" w:sz="4" w:space="0" w:color="000000"/>
            </w:tcBorders>
          </w:tcPr>
          <w:p w14:paraId="77FB6E22" w14:textId="77777777" w:rsidR="008064D3" w:rsidRDefault="00BC4748">
            <w:pPr>
              <w:jc w:val="center"/>
            </w:pPr>
            <w:r>
              <w:rPr>
                <w:rFonts w:ascii="Arial" w:eastAsia="Arial" w:hAnsi="Arial" w:cs="Arial"/>
                <w:b/>
                <w:sz w:val="24"/>
              </w:rPr>
              <w:t xml:space="preserve">2.1 Cele i korzyści </w:t>
            </w:r>
          </w:p>
          <w:p w14:paraId="03BCF442" w14:textId="77777777" w:rsidR="008064D3" w:rsidRDefault="00BC4748">
            <w:pPr>
              <w:jc w:val="center"/>
            </w:pPr>
            <w:r>
              <w:rPr>
                <w:rFonts w:ascii="Arial" w:eastAsia="Arial" w:hAnsi="Arial" w:cs="Arial"/>
                <w:b/>
                <w:sz w:val="24"/>
              </w:rPr>
              <w:t>wynikające z projektu</w:t>
            </w:r>
          </w:p>
        </w:tc>
        <w:tc>
          <w:tcPr>
            <w:tcW w:w="4678" w:type="dxa"/>
            <w:tcBorders>
              <w:top w:val="single" w:sz="4" w:space="0" w:color="000000"/>
              <w:left w:val="single" w:sz="4" w:space="0" w:color="000000"/>
              <w:bottom w:val="single" w:sz="4" w:space="0" w:color="000000"/>
              <w:right w:val="single" w:sz="4" w:space="0" w:color="000000"/>
            </w:tcBorders>
          </w:tcPr>
          <w:p w14:paraId="02F33CA8" w14:textId="77777777" w:rsidR="008064D3" w:rsidRDefault="00BC4748">
            <w:pPr>
              <w:spacing w:after="141"/>
            </w:pPr>
            <w:r>
              <w:rPr>
                <w:rFonts w:ascii="Arial" w:eastAsia="Arial" w:hAnsi="Arial" w:cs="Arial"/>
                <w:sz w:val="24"/>
              </w:rPr>
              <w:t>1) Brak w opisie założeń projektu wskaźników odnoszących się do szkolonych osób. Wydatki na szkolenia są przewidziane (włączone do wydatków na oprogramowanie), ponadto w bieżącej wersji umowy o dofinansowanie takie wskaźniki zostały określone, tj.:</w:t>
            </w:r>
          </w:p>
          <w:p w14:paraId="486AA0BE" w14:textId="77777777" w:rsidR="008064D3" w:rsidRDefault="00BC4748">
            <w:pPr>
              <w:numPr>
                <w:ilvl w:val="0"/>
                <w:numId w:val="2"/>
              </w:numPr>
              <w:spacing w:line="242" w:lineRule="auto"/>
              <w:ind w:hanging="360"/>
            </w:pPr>
            <w:r>
              <w:rPr>
                <w:rFonts w:ascii="Arial" w:eastAsia="Arial" w:hAnsi="Arial" w:cs="Arial"/>
                <w:sz w:val="24"/>
              </w:rPr>
              <w:t xml:space="preserve">Liczba pracowników podmiotów wykonujących zadania publiczne nie będących pracownikami IT, objętych wsparciem szkoleniowym </w:t>
            </w:r>
          </w:p>
          <w:p w14:paraId="3DA57D35" w14:textId="77777777" w:rsidR="008064D3" w:rsidRDefault="00BC4748">
            <w:pPr>
              <w:ind w:left="720"/>
            </w:pPr>
            <w:r>
              <w:rPr>
                <w:rFonts w:ascii="Arial" w:eastAsia="Arial" w:hAnsi="Arial" w:cs="Arial"/>
                <w:sz w:val="24"/>
              </w:rPr>
              <w:t>[osoby] = 2714,</w:t>
            </w:r>
          </w:p>
          <w:p w14:paraId="10C11F1E" w14:textId="77777777" w:rsidR="008064D3" w:rsidRDefault="00BC4748">
            <w:pPr>
              <w:numPr>
                <w:ilvl w:val="0"/>
                <w:numId w:val="2"/>
              </w:numPr>
              <w:spacing w:line="242" w:lineRule="auto"/>
              <w:ind w:hanging="360"/>
            </w:pPr>
            <w:r>
              <w:rPr>
                <w:rFonts w:ascii="Arial" w:eastAsia="Arial" w:hAnsi="Arial" w:cs="Arial"/>
                <w:sz w:val="24"/>
              </w:rPr>
              <w:t xml:space="preserve">Liczba pracowników podmiotów wykonujących zadania publiczne nie będących pracownikami IT, objętych wsparciem szkoleniowym </w:t>
            </w:r>
          </w:p>
          <w:p w14:paraId="5BD3729A" w14:textId="77777777" w:rsidR="008064D3" w:rsidRDefault="00BC4748">
            <w:pPr>
              <w:ind w:left="720"/>
            </w:pPr>
            <w:r>
              <w:rPr>
                <w:rFonts w:ascii="Arial" w:eastAsia="Arial" w:hAnsi="Arial" w:cs="Arial"/>
                <w:sz w:val="24"/>
              </w:rPr>
              <w:t>– kobiety [osoby] = 1703,</w:t>
            </w:r>
          </w:p>
          <w:p w14:paraId="59E05A55" w14:textId="77777777" w:rsidR="008064D3" w:rsidRDefault="00BC4748">
            <w:pPr>
              <w:numPr>
                <w:ilvl w:val="0"/>
                <w:numId w:val="2"/>
              </w:numPr>
              <w:spacing w:after="118" w:line="242" w:lineRule="auto"/>
              <w:ind w:hanging="360"/>
            </w:pPr>
            <w:r>
              <w:rPr>
                <w:rFonts w:ascii="Arial" w:eastAsia="Arial" w:hAnsi="Arial" w:cs="Arial"/>
                <w:sz w:val="24"/>
              </w:rPr>
              <w:t>Liczba pracowników podmiotów wykonujących zadania publiczne nie będących pracownikami IT, objętych wsparciem szkoleniowym – mężczyźni [osoby] – 1011.</w:t>
            </w:r>
          </w:p>
          <w:p w14:paraId="0EF6474C" w14:textId="77777777" w:rsidR="008064D3" w:rsidRDefault="00BC4748">
            <w:r>
              <w:rPr>
                <w:rFonts w:ascii="Arial" w:eastAsia="Arial" w:hAnsi="Arial" w:cs="Arial"/>
                <w:sz w:val="24"/>
              </w:rPr>
              <w:t>W związku z powyższym, w opisie założeń projektu te wskaźniki powinny zostać określone.</w:t>
            </w:r>
          </w:p>
        </w:tc>
        <w:tc>
          <w:tcPr>
            <w:tcW w:w="5812" w:type="dxa"/>
            <w:tcBorders>
              <w:top w:val="single" w:sz="4" w:space="0" w:color="000000"/>
              <w:left w:val="single" w:sz="4" w:space="0" w:color="000000"/>
              <w:bottom w:val="single" w:sz="4" w:space="0" w:color="000000"/>
              <w:right w:val="single" w:sz="4" w:space="0" w:color="000000"/>
            </w:tcBorders>
          </w:tcPr>
          <w:p w14:paraId="401E3CE7" w14:textId="24F39A9E" w:rsidR="008064D3" w:rsidRPr="00244C7E" w:rsidRDefault="00D5639C" w:rsidP="00D5639C">
            <w:r>
              <w:rPr>
                <w:rFonts w:ascii="Arial" w:eastAsia="Arial" w:hAnsi="Arial" w:cs="Arial"/>
                <w:sz w:val="24"/>
              </w:rPr>
              <w:t>Wskaźniki zostały uwzględnione w opisie założeń projektu.</w:t>
            </w:r>
            <w:bookmarkStart w:id="0" w:name="_GoBack"/>
            <w:bookmarkEnd w:id="0"/>
          </w:p>
          <w:p w14:paraId="7662EC67" w14:textId="77777777" w:rsidR="00244C7E" w:rsidRDefault="00244C7E" w:rsidP="00244C7E"/>
          <w:p w14:paraId="23B7B8E8" w14:textId="7AAD6AD0" w:rsidR="00244C7E" w:rsidRDefault="00244C7E" w:rsidP="00244C7E"/>
        </w:tc>
        <w:tc>
          <w:tcPr>
            <w:tcW w:w="1359" w:type="dxa"/>
            <w:tcBorders>
              <w:top w:val="single" w:sz="4" w:space="0" w:color="000000"/>
              <w:left w:val="single" w:sz="4" w:space="0" w:color="000000"/>
              <w:bottom w:val="single" w:sz="4" w:space="0" w:color="000000"/>
              <w:right w:val="single" w:sz="4" w:space="0" w:color="000000"/>
            </w:tcBorders>
          </w:tcPr>
          <w:p w14:paraId="5A3D7020" w14:textId="77777777" w:rsidR="008064D3" w:rsidRDefault="008064D3"/>
        </w:tc>
      </w:tr>
    </w:tbl>
    <w:p w14:paraId="566B16F6" w14:textId="77777777" w:rsidR="008064D3" w:rsidRDefault="00BC4748">
      <w:pPr>
        <w:spacing w:after="80"/>
        <w:ind w:left="14540" w:right="-720" w:hanging="10"/>
      </w:pPr>
      <w:r>
        <w:rPr>
          <w:rFonts w:ascii="Arial" w:eastAsia="Arial" w:hAnsi="Arial" w:cs="Arial"/>
          <w:sz w:val="24"/>
        </w:rPr>
        <w:t>3</w:t>
      </w:r>
    </w:p>
    <w:sectPr w:rsidR="008064D3">
      <w:pgSz w:w="16838" w:h="11906" w:orient="landscape"/>
      <w:pgMar w:top="725" w:right="1440" w:bottom="1252" w:left="1440"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858D37" w14:textId="77777777" w:rsidR="00511993" w:rsidRDefault="00511993" w:rsidP="00AA4C47">
      <w:pPr>
        <w:spacing w:after="0" w:line="240" w:lineRule="auto"/>
      </w:pPr>
      <w:r>
        <w:separator/>
      </w:r>
    </w:p>
  </w:endnote>
  <w:endnote w:type="continuationSeparator" w:id="0">
    <w:p w14:paraId="63338069" w14:textId="77777777" w:rsidR="00511993" w:rsidRDefault="00511993" w:rsidP="00AA4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FFD02B" w14:textId="77777777" w:rsidR="00511993" w:rsidRDefault="00511993" w:rsidP="00AA4C47">
      <w:pPr>
        <w:spacing w:after="0" w:line="240" w:lineRule="auto"/>
      </w:pPr>
      <w:r>
        <w:separator/>
      </w:r>
    </w:p>
  </w:footnote>
  <w:footnote w:type="continuationSeparator" w:id="0">
    <w:p w14:paraId="6322EA3C" w14:textId="77777777" w:rsidR="00511993" w:rsidRDefault="00511993" w:rsidP="00AA4C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1B104C2"/>
    <w:multiLevelType w:val="hybridMultilevel"/>
    <w:tmpl w:val="4E707AD2"/>
    <w:lvl w:ilvl="0" w:tplc="5EE87DB2">
      <w:start w:val="1"/>
      <w:numFmt w:val="bullet"/>
      <w:lvlText w:val="-"/>
      <w:lvlJc w:val="left"/>
      <w:pPr>
        <w:ind w:left="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8E01230">
      <w:start w:val="1"/>
      <w:numFmt w:val="bullet"/>
      <w:lvlText w:val="o"/>
      <w:lvlJc w:val="left"/>
      <w:pPr>
        <w:ind w:left="11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1A56A0E2">
      <w:start w:val="1"/>
      <w:numFmt w:val="bullet"/>
      <w:lvlText w:val="▪"/>
      <w:lvlJc w:val="left"/>
      <w:pPr>
        <w:ind w:left="19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5CAE842">
      <w:start w:val="1"/>
      <w:numFmt w:val="bullet"/>
      <w:lvlText w:val="•"/>
      <w:lvlJc w:val="left"/>
      <w:pPr>
        <w:ind w:left="26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EA84320">
      <w:start w:val="1"/>
      <w:numFmt w:val="bullet"/>
      <w:lvlText w:val="o"/>
      <w:lvlJc w:val="left"/>
      <w:pPr>
        <w:ind w:left="3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8C0C4856">
      <w:start w:val="1"/>
      <w:numFmt w:val="bullet"/>
      <w:lvlText w:val="▪"/>
      <w:lvlJc w:val="left"/>
      <w:pPr>
        <w:ind w:left="40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AEE483E">
      <w:start w:val="1"/>
      <w:numFmt w:val="bullet"/>
      <w:lvlText w:val="•"/>
      <w:lvlJc w:val="left"/>
      <w:pPr>
        <w:ind w:left="47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E06ACA56">
      <w:start w:val="1"/>
      <w:numFmt w:val="bullet"/>
      <w:lvlText w:val="o"/>
      <w:lvlJc w:val="left"/>
      <w:pPr>
        <w:ind w:left="55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C396F8D6">
      <w:start w:val="1"/>
      <w:numFmt w:val="bullet"/>
      <w:lvlText w:val="▪"/>
      <w:lvlJc w:val="left"/>
      <w:pPr>
        <w:ind w:left="62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64085BA9"/>
    <w:multiLevelType w:val="hybridMultilevel"/>
    <w:tmpl w:val="757C8B9A"/>
    <w:lvl w:ilvl="0" w:tplc="31E80836">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D08DFCE">
      <w:start w:val="1"/>
      <w:numFmt w:val="lowerLetter"/>
      <w:lvlText w:val="%2"/>
      <w:lvlJc w:val="left"/>
      <w:pPr>
        <w:ind w:left="15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E0C39F4">
      <w:start w:val="1"/>
      <w:numFmt w:val="lowerRoman"/>
      <w:lvlText w:val="%3"/>
      <w:lvlJc w:val="left"/>
      <w:pPr>
        <w:ind w:left="22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CC6275E8">
      <w:start w:val="1"/>
      <w:numFmt w:val="decimal"/>
      <w:lvlText w:val="%4"/>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39C97D0">
      <w:start w:val="1"/>
      <w:numFmt w:val="lowerLetter"/>
      <w:lvlText w:val="%5"/>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35A344C">
      <w:start w:val="1"/>
      <w:numFmt w:val="lowerRoman"/>
      <w:lvlText w:val="%6"/>
      <w:lvlJc w:val="left"/>
      <w:pPr>
        <w:ind w:left="4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C39E0220">
      <w:start w:val="1"/>
      <w:numFmt w:val="decimal"/>
      <w:lvlText w:val="%7"/>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02583ADC">
      <w:start w:val="1"/>
      <w:numFmt w:val="lowerLetter"/>
      <w:lvlText w:val="%8"/>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6F162E2A">
      <w:start w:val="1"/>
      <w:numFmt w:val="lowerRoman"/>
      <w:lvlText w:val="%9"/>
      <w:lvlJc w:val="left"/>
      <w:pPr>
        <w:ind w:left="6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733D3FFC"/>
    <w:multiLevelType w:val="hybridMultilevel"/>
    <w:tmpl w:val="BFB88E34"/>
    <w:lvl w:ilvl="0" w:tplc="ECA88FB8">
      <w:start w:val="1"/>
      <w:numFmt w:val="decimal"/>
      <w:lvlText w:val="%1."/>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1F068112">
      <w:start w:val="1"/>
      <w:numFmt w:val="lowerLetter"/>
      <w:lvlText w:val="%2"/>
      <w:lvlJc w:val="left"/>
      <w:pPr>
        <w:ind w:left="15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7D8ED84">
      <w:start w:val="1"/>
      <w:numFmt w:val="lowerRoman"/>
      <w:lvlText w:val="%3"/>
      <w:lvlJc w:val="left"/>
      <w:pPr>
        <w:ind w:left="22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68FE602A">
      <w:start w:val="1"/>
      <w:numFmt w:val="decimal"/>
      <w:lvlText w:val="%4"/>
      <w:lvlJc w:val="left"/>
      <w:pPr>
        <w:ind w:left="29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8A5A0E02">
      <w:start w:val="1"/>
      <w:numFmt w:val="lowerLetter"/>
      <w:lvlText w:val="%5"/>
      <w:lvlJc w:val="left"/>
      <w:pPr>
        <w:ind w:left="370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A498E858">
      <w:start w:val="1"/>
      <w:numFmt w:val="lowerRoman"/>
      <w:lvlText w:val="%6"/>
      <w:lvlJc w:val="left"/>
      <w:pPr>
        <w:ind w:left="4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8B0B4B2">
      <w:start w:val="1"/>
      <w:numFmt w:val="decimal"/>
      <w:lvlText w:val="%7"/>
      <w:lvlJc w:val="left"/>
      <w:pPr>
        <w:ind w:left="51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A1FE0FE4">
      <w:start w:val="1"/>
      <w:numFmt w:val="lowerLetter"/>
      <w:lvlText w:val="%8"/>
      <w:lvlJc w:val="left"/>
      <w:pPr>
        <w:ind w:left="586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F98120C">
      <w:start w:val="1"/>
      <w:numFmt w:val="lowerRoman"/>
      <w:lvlText w:val="%9"/>
      <w:lvlJc w:val="left"/>
      <w:pPr>
        <w:ind w:left="6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4D3"/>
    <w:rsid w:val="00072D0C"/>
    <w:rsid w:val="00080D6C"/>
    <w:rsid w:val="00096FBC"/>
    <w:rsid w:val="00222D81"/>
    <w:rsid w:val="00227B3B"/>
    <w:rsid w:val="00244C7E"/>
    <w:rsid w:val="00417510"/>
    <w:rsid w:val="004C67B4"/>
    <w:rsid w:val="00511993"/>
    <w:rsid w:val="0062149D"/>
    <w:rsid w:val="006B0BCB"/>
    <w:rsid w:val="006D5A00"/>
    <w:rsid w:val="00703FA4"/>
    <w:rsid w:val="008064D3"/>
    <w:rsid w:val="00A01CE5"/>
    <w:rsid w:val="00AA4C47"/>
    <w:rsid w:val="00BC4748"/>
    <w:rsid w:val="00C524CD"/>
    <w:rsid w:val="00D17852"/>
    <w:rsid w:val="00D5639C"/>
    <w:rsid w:val="00DB04F2"/>
    <w:rsid w:val="00DD500B"/>
    <w:rsid w:val="00E30192"/>
    <w:rsid w:val="00E83E32"/>
    <w:rsid w:val="00F42B7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FDAC60"/>
  <w15:docId w15:val="{18E563FF-645F-47EA-9DDC-F993B7FDD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417510"/>
    <w:rPr>
      <w:color w:val="0563C1" w:themeColor="hyperlink"/>
      <w:u w:val="single"/>
    </w:rPr>
  </w:style>
  <w:style w:type="character" w:customStyle="1" w:styleId="UnresolvedMention">
    <w:name w:val="Unresolved Mention"/>
    <w:basedOn w:val="Domylnaczcionkaakapitu"/>
    <w:uiPriority w:val="99"/>
    <w:semiHidden/>
    <w:unhideWhenUsed/>
    <w:rsid w:val="00417510"/>
    <w:rPr>
      <w:color w:val="605E5C"/>
      <w:shd w:val="clear" w:color="auto" w:fill="E1DFDD"/>
    </w:rPr>
  </w:style>
  <w:style w:type="paragraph" w:styleId="Nagwek">
    <w:name w:val="header"/>
    <w:basedOn w:val="Normalny"/>
    <w:link w:val="NagwekZnak"/>
    <w:uiPriority w:val="99"/>
    <w:unhideWhenUsed/>
    <w:rsid w:val="00AA4C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A4C47"/>
    <w:rPr>
      <w:rFonts w:ascii="Calibri" w:eastAsia="Calibri" w:hAnsi="Calibri" w:cs="Calibri"/>
      <w:color w:val="000000"/>
    </w:rPr>
  </w:style>
  <w:style w:type="paragraph" w:styleId="Stopka">
    <w:name w:val="footer"/>
    <w:basedOn w:val="Normalny"/>
    <w:link w:val="StopkaZnak"/>
    <w:uiPriority w:val="99"/>
    <w:unhideWhenUsed/>
    <w:rsid w:val="00AA4C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A4C47"/>
    <w:rPr>
      <w:rFonts w:ascii="Calibri" w:eastAsia="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unduszeeuropejskie.gov.pl/" TargetMode="External"/><Relationship Id="rId5" Type="http://schemas.openxmlformats.org/officeDocument/2006/relationships/webSettings" Target="webSettings.xml"/><Relationship Id="rId10" Type="http://schemas.openxmlformats.org/officeDocument/2006/relationships/hyperlink" Target="https://www.gov.pl/web/fundusze-regiony" TargetMode="External"/><Relationship Id="rId4" Type="http://schemas.openxmlformats.org/officeDocument/2006/relationships/settings" Target="settings.xml"/><Relationship Id="rId9" Type="http://schemas.openxmlformats.org/officeDocument/2006/relationships/hyperlink" Target="mailto:ignacy.turowiecki@mfipr.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8721F2AC-2E79-4D23-9627-6C0EF0D4CEA9}">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614</Words>
  <Characters>3684</Characters>
  <Application>Microsoft Office Word</Application>
  <DocSecurity>0</DocSecurity>
  <Lines>30</Lines>
  <Paragraphs>8</Paragraphs>
  <ScaleCrop>false</ScaleCrop>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Miasto, 15 maja 2008 r</dc:title>
  <dc:subject/>
  <dc:creator>Soon</dc:creator>
  <cp:keywords/>
  <cp:lastModifiedBy>GOWIN AGATA</cp:lastModifiedBy>
  <cp:revision>4</cp:revision>
  <dcterms:created xsi:type="dcterms:W3CDTF">2023-08-11T11:05:00Z</dcterms:created>
  <dcterms:modified xsi:type="dcterms:W3CDTF">2023-08-11T12:39:00Z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605c062b-33f7-4d0c-81c3-52e5062722d4</vt:lpwstr>
  </property>
  <property fmtid="{D5CDD505-2E9C-101B-9397-08002B2CF9AE}" pid="3" name="bjSaver">
    <vt:lpwstr>gxXz/i4HdtOMTFWAMYTI/2fYIGmc2I+a</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